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B168D" w14:textId="28DC5EA3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 xml:space="preserve">Praha, </w:t>
      </w:r>
      <w:r w:rsidR="00D9759B">
        <w:t>10</w:t>
      </w:r>
      <w:r w:rsidR="7B07A03B">
        <w:t xml:space="preserve">. </w:t>
      </w:r>
      <w:r w:rsidR="00D74DCF">
        <w:t>červ</w:t>
      </w:r>
      <w:r w:rsidR="00D9759B">
        <w:t>ence</w:t>
      </w:r>
      <w:r w:rsidR="009B0889">
        <w:t xml:space="preserve"> </w:t>
      </w:r>
      <w:r w:rsidR="00536363">
        <w:t>202</w:t>
      </w:r>
      <w:r w:rsidR="00710C48">
        <w:t>4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3F34379E" w14:textId="5C0D8850" w:rsidR="002B2E0A" w:rsidRDefault="00D9759B" w:rsidP="00D74DCF">
      <w:pPr>
        <w:rPr>
          <w:rFonts w:cs="Arial"/>
          <w:b/>
          <w:bCs/>
          <w:color w:val="0070C0"/>
          <w:sz w:val="28"/>
          <w:szCs w:val="28"/>
        </w:rPr>
      </w:pPr>
      <w:r w:rsidRPr="00D9759B">
        <w:rPr>
          <w:rFonts w:cs="Arial"/>
          <w:b/>
          <w:bCs/>
          <w:color w:val="0070C0"/>
          <w:sz w:val="28"/>
          <w:szCs w:val="28"/>
        </w:rPr>
        <w:t>Komentář: Nedostatečná výstavba požene ceny nemovitostí nahoru</w:t>
      </w:r>
    </w:p>
    <w:p w14:paraId="59F2B989" w14:textId="77777777" w:rsidR="00D74DCF" w:rsidRPr="00D74DCF" w:rsidRDefault="00D74DCF" w:rsidP="00D74DCF">
      <w:pPr>
        <w:rPr>
          <w:rFonts w:cs="Arial"/>
          <w:sz w:val="22"/>
          <w:szCs w:val="22"/>
        </w:rPr>
      </w:pPr>
    </w:p>
    <w:p w14:paraId="380C0228" w14:textId="77777777" w:rsidR="00D9759B" w:rsidRPr="00D9759B" w:rsidRDefault="00D9759B" w:rsidP="00D9759B">
      <w:pPr>
        <w:rPr>
          <w:rFonts w:cs="Arial"/>
          <w:sz w:val="20"/>
          <w:szCs w:val="20"/>
        </w:rPr>
      </w:pPr>
      <w:r w:rsidRPr="00D9759B">
        <w:rPr>
          <w:rFonts w:cs="Arial"/>
          <w:sz w:val="20"/>
          <w:szCs w:val="20"/>
        </w:rPr>
        <w:t xml:space="preserve">Podle údajů </w:t>
      </w:r>
      <w:proofErr w:type="spellStart"/>
      <w:r w:rsidRPr="00D9759B">
        <w:rPr>
          <w:rFonts w:cs="Arial"/>
          <w:sz w:val="20"/>
          <w:szCs w:val="20"/>
        </w:rPr>
        <w:t>Eurostatu</w:t>
      </w:r>
      <w:proofErr w:type="spellEnd"/>
      <w:r w:rsidRPr="00D9759B">
        <w:rPr>
          <w:rFonts w:cs="Arial"/>
          <w:sz w:val="20"/>
          <w:szCs w:val="20"/>
        </w:rPr>
        <w:t xml:space="preserve"> klesly ceny bytů v ČR do poloviny loňského roku jen o 4,5 %. Vzhledem k tomu, že za posledních pět let zde byty celkově zdražily o 56 %, šlo vlastně jen o symbolickou korekci předchozího prudkého růstu, která ovlivnila (ne)dostupnost bydlení jen minimálně. </w:t>
      </w:r>
    </w:p>
    <w:p w14:paraId="5F62B131" w14:textId="77777777" w:rsidR="00D9759B" w:rsidRDefault="00D9759B" w:rsidP="00D9759B">
      <w:pPr>
        <w:rPr>
          <w:rFonts w:cs="Arial"/>
          <w:sz w:val="20"/>
          <w:szCs w:val="20"/>
        </w:rPr>
      </w:pPr>
    </w:p>
    <w:p w14:paraId="3FBB8B8D" w14:textId="0E334174" w:rsidR="00D9759B" w:rsidRPr="00D9759B" w:rsidRDefault="00D9759B" w:rsidP="00D9759B">
      <w:pPr>
        <w:rPr>
          <w:rFonts w:cs="Arial"/>
          <w:sz w:val="20"/>
          <w:szCs w:val="20"/>
        </w:rPr>
      </w:pPr>
      <w:r w:rsidRPr="00D9759B">
        <w:rPr>
          <w:rFonts w:cs="Arial"/>
          <w:sz w:val="20"/>
          <w:szCs w:val="20"/>
        </w:rPr>
        <w:t xml:space="preserve">Navíc od poloviny loňského roku se už ceny bytů zvýšily o necelá dvě procenta, a eliminovaly tak předchozí krátké zaškobrtnutí. Výpočty centrální banky, podle kterých jsou ceny nemovitostí vzhledem k příjmům domácností nadhodnoceny o 62 % (a o více než 20 % v případě investičních bytů), tak nechávají realitní trh chladným. Apetit kupujících opět sílí, respektive zájemci i na aktuální „nadhodnocené“ ceny </w:t>
      </w:r>
      <w:proofErr w:type="gramStart"/>
      <w:r w:rsidRPr="00D9759B">
        <w:rPr>
          <w:rFonts w:cs="Arial"/>
          <w:sz w:val="20"/>
          <w:szCs w:val="20"/>
        </w:rPr>
        <w:t>slyší</w:t>
      </w:r>
      <w:proofErr w:type="gramEnd"/>
      <w:r w:rsidRPr="00D9759B">
        <w:rPr>
          <w:rFonts w:cs="Arial"/>
          <w:sz w:val="20"/>
          <w:szCs w:val="20"/>
        </w:rPr>
        <w:t xml:space="preserve">. Mimo jiné také díky povzbuzení poptávky po hypotékách, které následuje po uvolnění pravidel pro poskytování hypotečních úvěrů. Na to reagují developeři, kteří postupně uvolňují do předprodejů větší množství bytů než v minulých dvou letech. V očekávání vyššího zájmu ze strany kupujících spouští dlouhodobě připravené a povolené projekty, u kterých čekali na to, aby je na trh uvedli v příznivějším čase. </w:t>
      </w:r>
    </w:p>
    <w:p w14:paraId="42D99502" w14:textId="77777777" w:rsidR="00D9759B" w:rsidRDefault="00D9759B" w:rsidP="00D9759B">
      <w:pPr>
        <w:rPr>
          <w:rFonts w:cs="Arial"/>
          <w:sz w:val="20"/>
          <w:szCs w:val="20"/>
        </w:rPr>
      </w:pPr>
    </w:p>
    <w:p w14:paraId="18E583F4" w14:textId="68348B86" w:rsidR="00D9759B" w:rsidRPr="00D9759B" w:rsidRDefault="00D9759B" w:rsidP="00D9759B">
      <w:pPr>
        <w:rPr>
          <w:rFonts w:cs="Arial"/>
          <w:sz w:val="20"/>
          <w:szCs w:val="20"/>
        </w:rPr>
      </w:pPr>
      <w:r w:rsidRPr="00D9759B">
        <w:rPr>
          <w:rFonts w:cs="Arial"/>
          <w:sz w:val="20"/>
          <w:szCs w:val="20"/>
        </w:rPr>
        <w:t xml:space="preserve">Zatímco poptávka po bytech opět sílí, výstavba zůstává dál neflexibilní. Podle údajů statistického úřadu za prvních pět měsíců letošního roku poklesl počet nově stavěných bytů o 7,1 %. Nadějně nevypadá ani vývoj stavebních povolení na novou bytovou výstavbu, jejichž počet se meziročně snížil o více než 13 %, a to ani loňský rok rozhodně nebyl ve znamení boomu. Výsledek za první půlrok možná ještě </w:t>
      </w:r>
      <w:proofErr w:type="gramStart"/>
      <w:r w:rsidRPr="00D9759B">
        <w:rPr>
          <w:rFonts w:cs="Arial"/>
          <w:sz w:val="20"/>
          <w:szCs w:val="20"/>
        </w:rPr>
        <w:t>vylepší</w:t>
      </w:r>
      <w:proofErr w:type="gramEnd"/>
      <w:r w:rsidRPr="00D9759B">
        <w:rPr>
          <w:rFonts w:cs="Arial"/>
          <w:sz w:val="20"/>
          <w:szCs w:val="20"/>
        </w:rPr>
        <w:t xml:space="preserve"> červnová data, ale půjde spíše jen o efekt přípravy na zavedení nového systému stavebního řízení. </w:t>
      </w:r>
    </w:p>
    <w:p w14:paraId="2A95B7AE" w14:textId="77777777" w:rsidR="00D9759B" w:rsidRDefault="00D9759B" w:rsidP="00D9759B">
      <w:pPr>
        <w:rPr>
          <w:rFonts w:cs="Arial"/>
          <w:sz w:val="20"/>
          <w:szCs w:val="20"/>
        </w:rPr>
      </w:pPr>
    </w:p>
    <w:p w14:paraId="3803F86A" w14:textId="016F913A" w:rsidR="00D9759B" w:rsidRPr="00D9759B" w:rsidRDefault="00D9759B" w:rsidP="00D9759B">
      <w:pPr>
        <w:rPr>
          <w:rFonts w:cs="Arial"/>
          <w:sz w:val="20"/>
          <w:szCs w:val="20"/>
        </w:rPr>
      </w:pPr>
      <w:r w:rsidRPr="00D9759B">
        <w:rPr>
          <w:rFonts w:cs="Arial"/>
          <w:sz w:val="20"/>
          <w:szCs w:val="20"/>
        </w:rPr>
        <w:t xml:space="preserve">Zatím vše nasvědčuje tomu, že následující měsíce budou z pohledu bytové výstavby spíše slabší. Celkově to tedy vypadá, že se bytová výstavba zatím ještě nerozběhla, i když poptávka roste díky klesajícím úrokovým sazbám, respektive zvyšujícímu se objemu poskytnutých hypotečních úvěrů. Navíc zájem o hypotéky s největší pravděpodobností na podzim poroste díky novele spotřebitelského zákona. Ta sice na jednu stranu zpřísní pravidla pro předčasné splacení hypoték, ale zároveň s největší pravděpodobností </w:t>
      </w:r>
      <w:proofErr w:type="gramStart"/>
      <w:r w:rsidRPr="00D9759B">
        <w:rPr>
          <w:rFonts w:cs="Arial"/>
          <w:sz w:val="20"/>
          <w:szCs w:val="20"/>
        </w:rPr>
        <w:t>podpoří</w:t>
      </w:r>
      <w:proofErr w:type="gramEnd"/>
      <w:r w:rsidRPr="00D9759B">
        <w:rPr>
          <w:rFonts w:cs="Arial"/>
          <w:sz w:val="20"/>
          <w:szCs w:val="20"/>
        </w:rPr>
        <w:t xml:space="preserve"> </w:t>
      </w:r>
      <w:r w:rsidR="006E0AA7">
        <w:rPr>
          <w:rFonts w:cs="Arial"/>
          <w:sz w:val="20"/>
          <w:szCs w:val="20"/>
        </w:rPr>
        <w:t xml:space="preserve">u bank chuť ke </w:t>
      </w:r>
      <w:r w:rsidRPr="00D9759B">
        <w:rPr>
          <w:rFonts w:cs="Arial"/>
          <w:sz w:val="20"/>
          <w:szCs w:val="20"/>
        </w:rPr>
        <w:t>snižování úrokových sazeb. Nedostatek nové výstavby a zvýšený zájem o hypotéky tak zřejmě poved</w:t>
      </w:r>
      <w:r w:rsidR="006E0AA7">
        <w:rPr>
          <w:rFonts w:cs="Arial"/>
          <w:sz w:val="20"/>
          <w:szCs w:val="20"/>
        </w:rPr>
        <w:t>ou</w:t>
      </w:r>
      <w:r w:rsidRPr="00D9759B">
        <w:rPr>
          <w:rFonts w:cs="Arial"/>
          <w:sz w:val="20"/>
          <w:szCs w:val="20"/>
        </w:rPr>
        <w:t xml:space="preserve"> k tomu, že ceny nemovitostí budou i nadále růst. Sama ČNB předpovídá každoroční zvyšování cen bytů o zhruba od 5 procent. </w:t>
      </w:r>
    </w:p>
    <w:p w14:paraId="3F2296BE" w14:textId="77777777" w:rsidR="00D9759B" w:rsidRDefault="00D9759B" w:rsidP="00D9759B">
      <w:pPr>
        <w:rPr>
          <w:rFonts w:cs="Arial"/>
          <w:sz w:val="20"/>
          <w:szCs w:val="20"/>
        </w:rPr>
      </w:pPr>
    </w:p>
    <w:p w14:paraId="6773834B" w14:textId="4CB4620E" w:rsidR="00D9759B" w:rsidRPr="00D9759B" w:rsidRDefault="00D9759B" w:rsidP="00D9759B">
      <w:pPr>
        <w:rPr>
          <w:rFonts w:cs="Arial"/>
          <w:i/>
          <w:iCs/>
          <w:sz w:val="20"/>
          <w:szCs w:val="20"/>
        </w:rPr>
      </w:pPr>
      <w:r w:rsidRPr="00D9759B">
        <w:rPr>
          <w:rFonts w:cs="Arial"/>
          <w:i/>
          <w:iCs/>
          <w:sz w:val="20"/>
          <w:szCs w:val="20"/>
        </w:rPr>
        <w:t>Autorem komentáře je Tomáš Drábek, obchodní ředitel CREDITAS Real Estate</w:t>
      </w:r>
    </w:p>
    <w:p w14:paraId="3BA85642" w14:textId="77777777" w:rsidR="00272ADA" w:rsidRDefault="00272ADA" w:rsidP="002805F2">
      <w:pPr>
        <w:rPr>
          <w:rFonts w:cs="Arial"/>
          <w:sz w:val="22"/>
          <w:szCs w:val="22"/>
        </w:rPr>
      </w:pPr>
    </w:p>
    <w:p w14:paraId="0477276B" w14:textId="77777777" w:rsidR="00D9759B" w:rsidRDefault="00D9759B" w:rsidP="002805F2">
      <w:pPr>
        <w:rPr>
          <w:rFonts w:cs="Arial"/>
          <w:sz w:val="22"/>
          <w:szCs w:val="22"/>
        </w:rPr>
      </w:pPr>
    </w:p>
    <w:p w14:paraId="4C889EF5" w14:textId="77777777" w:rsidR="00D9759B" w:rsidRDefault="00D9759B" w:rsidP="002805F2">
      <w:pPr>
        <w:rPr>
          <w:rFonts w:cs="Arial"/>
          <w:sz w:val="22"/>
          <w:szCs w:val="22"/>
        </w:rPr>
      </w:pPr>
    </w:p>
    <w:p w14:paraId="2F69D7C5" w14:textId="77777777" w:rsidR="00D9759B" w:rsidRDefault="00D9759B" w:rsidP="002805F2">
      <w:pPr>
        <w:rPr>
          <w:rFonts w:cs="Arial"/>
          <w:sz w:val="22"/>
          <w:szCs w:val="22"/>
        </w:rPr>
      </w:pPr>
    </w:p>
    <w:p w14:paraId="070300E7" w14:textId="77777777" w:rsidR="00D9759B" w:rsidRDefault="00D9759B" w:rsidP="002805F2">
      <w:pPr>
        <w:rPr>
          <w:rFonts w:cs="Arial"/>
          <w:sz w:val="22"/>
          <w:szCs w:val="22"/>
        </w:rPr>
      </w:pPr>
    </w:p>
    <w:p w14:paraId="384051CA" w14:textId="77777777" w:rsidR="00D9759B" w:rsidRDefault="00D9759B" w:rsidP="002805F2">
      <w:pPr>
        <w:rPr>
          <w:rFonts w:cs="Arial"/>
          <w:sz w:val="22"/>
          <w:szCs w:val="22"/>
        </w:rPr>
      </w:pPr>
    </w:p>
    <w:p w14:paraId="7386F0D2" w14:textId="77777777" w:rsidR="00D9759B" w:rsidRDefault="00D9759B" w:rsidP="002805F2">
      <w:pPr>
        <w:rPr>
          <w:rFonts w:cs="Arial"/>
          <w:sz w:val="22"/>
          <w:szCs w:val="22"/>
        </w:rPr>
      </w:pPr>
    </w:p>
    <w:p w14:paraId="428C3C9B" w14:textId="77777777" w:rsidR="00D9759B" w:rsidRDefault="00D9759B" w:rsidP="002805F2">
      <w:pPr>
        <w:rPr>
          <w:rFonts w:cs="Arial"/>
          <w:sz w:val="22"/>
          <w:szCs w:val="22"/>
        </w:rPr>
      </w:pPr>
    </w:p>
    <w:p w14:paraId="7C6D2E0B" w14:textId="77777777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>
          <w:rPr>
            <w:rStyle w:val="Hypertextovodkaz"/>
            <w:rFonts w:cs="Arial"/>
            <w:bCs/>
            <w:sz w:val="20"/>
            <w:szCs w:val="20"/>
          </w:rPr>
          <w:t>marie.mockova</w:t>
        </w:r>
      </w:hyperlink>
      <w:r>
        <w:rPr>
          <w:rStyle w:val="Hypertextovodkaz"/>
          <w:rFonts w:cs="Arial"/>
          <w:bCs/>
          <w:sz w:val="20"/>
          <w:szCs w:val="20"/>
        </w:rPr>
        <w:t>@creditasre.cz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Informace o CREDITAS Real Estate:</w:t>
      </w:r>
    </w:p>
    <w:p w14:paraId="64781D1C" w14:textId="5970791D" w:rsidR="002805F2" w:rsidRPr="003A5617" w:rsidRDefault="002805F2" w:rsidP="003A5617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3A5617" w:rsidSect="00A5085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6EBBF" w14:textId="77777777" w:rsidR="00BA444A" w:rsidRDefault="00BA444A" w:rsidP="00F95828">
      <w:pPr>
        <w:spacing w:line="240" w:lineRule="auto"/>
      </w:pPr>
      <w:r>
        <w:separator/>
      </w:r>
    </w:p>
    <w:p w14:paraId="3FAEC438" w14:textId="77777777" w:rsidR="00BA444A" w:rsidRDefault="00BA444A"/>
  </w:endnote>
  <w:endnote w:type="continuationSeparator" w:id="0">
    <w:p w14:paraId="5D94B39B" w14:textId="77777777" w:rsidR="00BA444A" w:rsidRDefault="00BA444A" w:rsidP="00F95828">
      <w:pPr>
        <w:spacing w:line="240" w:lineRule="auto"/>
      </w:pPr>
      <w:r>
        <w:continuationSeparator/>
      </w:r>
    </w:p>
    <w:p w14:paraId="2CBB1E99" w14:textId="77777777" w:rsidR="00BA444A" w:rsidRDefault="00BA444A"/>
  </w:endnote>
  <w:endnote w:type="continuationNotice" w:id="1">
    <w:p w14:paraId="67C8F2AE" w14:textId="77777777" w:rsidR="00BA444A" w:rsidRDefault="00BA44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 Mono MT Pro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Estate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DA383" w14:textId="77777777" w:rsidR="00BA444A" w:rsidRDefault="00BA444A" w:rsidP="00F95828">
      <w:pPr>
        <w:spacing w:line="240" w:lineRule="auto"/>
      </w:pPr>
      <w:r>
        <w:separator/>
      </w:r>
    </w:p>
    <w:p w14:paraId="1EA6A445" w14:textId="77777777" w:rsidR="00BA444A" w:rsidRDefault="00BA444A"/>
  </w:footnote>
  <w:footnote w:type="continuationSeparator" w:id="0">
    <w:p w14:paraId="5487ADE8" w14:textId="77777777" w:rsidR="00BA444A" w:rsidRDefault="00BA444A" w:rsidP="00F95828">
      <w:pPr>
        <w:spacing w:line="240" w:lineRule="auto"/>
      </w:pPr>
      <w:r>
        <w:continuationSeparator/>
      </w:r>
    </w:p>
    <w:p w14:paraId="7427716C" w14:textId="77777777" w:rsidR="00BA444A" w:rsidRDefault="00BA444A"/>
  </w:footnote>
  <w:footnote w:type="continuationNotice" w:id="1">
    <w:p w14:paraId="69FC87AC" w14:textId="77777777" w:rsidR="00BA444A" w:rsidRDefault="00BA44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43C7" w14:textId="26AC218D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D9759B">
      <w:t>KOMENTÁŘ</w:t>
    </w:r>
    <w:r w:rsidR="7622C342" w:rsidRPr="00FC6638">
      <w:rPr>
        <w:color w:val="4DD0E1"/>
      </w:rPr>
      <w:t xml:space="preserve"> 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811"/>
    <w:rsid w:val="00010C1C"/>
    <w:rsid w:val="00013542"/>
    <w:rsid w:val="00014363"/>
    <w:rsid w:val="000157AF"/>
    <w:rsid w:val="00016C25"/>
    <w:rsid w:val="000178B3"/>
    <w:rsid w:val="00017AAF"/>
    <w:rsid w:val="00021FCF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38B3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674AC"/>
    <w:rsid w:val="00072441"/>
    <w:rsid w:val="00072DC5"/>
    <w:rsid w:val="0007560E"/>
    <w:rsid w:val="000807AF"/>
    <w:rsid w:val="00080A43"/>
    <w:rsid w:val="00083A17"/>
    <w:rsid w:val="00087249"/>
    <w:rsid w:val="00091820"/>
    <w:rsid w:val="000944E1"/>
    <w:rsid w:val="000A2FA9"/>
    <w:rsid w:val="000A3A59"/>
    <w:rsid w:val="000A4078"/>
    <w:rsid w:val="000A5B82"/>
    <w:rsid w:val="000A6966"/>
    <w:rsid w:val="000A7445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2D8"/>
    <w:rsid w:val="000C18D3"/>
    <w:rsid w:val="000C28BE"/>
    <w:rsid w:val="000C3B1B"/>
    <w:rsid w:val="000C3ECA"/>
    <w:rsid w:val="000C41AB"/>
    <w:rsid w:val="000C79CE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243"/>
    <w:rsid w:val="00101E08"/>
    <w:rsid w:val="0010227E"/>
    <w:rsid w:val="00102D8C"/>
    <w:rsid w:val="00104A6C"/>
    <w:rsid w:val="00105962"/>
    <w:rsid w:val="00106540"/>
    <w:rsid w:val="001104DD"/>
    <w:rsid w:val="0011078F"/>
    <w:rsid w:val="0011131F"/>
    <w:rsid w:val="00112C35"/>
    <w:rsid w:val="00114373"/>
    <w:rsid w:val="001148DC"/>
    <w:rsid w:val="0011653D"/>
    <w:rsid w:val="00122C05"/>
    <w:rsid w:val="00123D3D"/>
    <w:rsid w:val="00124FB9"/>
    <w:rsid w:val="0012656C"/>
    <w:rsid w:val="001271A3"/>
    <w:rsid w:val="00131BF0"/>
    <w:rsid w:val="001327C1"/>
    <w:rsid w:val="001343D8"/>
    <w:rsid w:val="001355BD"/>
    <w:rsid w:val="00135D0C"/>
    <w:rsid w:val="001360B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532B"/>
    <w:rsid w:val="00175565"/>
    <w:rsid w:val="001759C1"/>
    <w:rsid w:val="00176F4B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58DB"/>
    <w:rsid w:val="001D6094"/>
    <w:rsid w:val="001D61EB"/>
    <w:rsid w:val="001D7906"/>
    <w:rsid w:val="001D7CA9"/>
    <w:rsid w:val="001E0183"/>
    <w:rsid w:val="001E04A9"/>
    <w:rsid w:val="001E1B61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3E21"/>
    <w:rsid w:val="00214516"/>
    <w:rsid w:val="00214C71"/>
    <w:rsid w:val="00214F1F"/>
    <w:rsid w:val="00215FB8"/>
    <w:rsid w:val="00217C90"/>
    <w:rsid w:val="00221454"/>
    <w:rsid w:val="002254F9"/>
    <w:rsid w:val="0022565F"/>
    <w:rsid w:val="00226E81"/>
    <w:rsid w:val="00227278"/>
    <w:rsid w:val="00227ACE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B57"/>
    <w:rsid w:val="00254CC6"/>
    <w:rsid w:val="00255099"/>
    <w:rsid w:val="0025521C"/>
    <w:rsid w:val="00255A2A"/>
    <w:rsid w:val="0025639E"/>
    <w:rsid w:val="002564E4"/>
    <w:rsid w:val="00256C69"/>
    <w:rsid w:val="00257D21"/>
    <w:rsid w:val="00260AF4"/>
    <w:rsid w:val="00260FA2"/>
    <w:rsid w:val="00261E6D"/>
    <w:rsid w:val="00262EA6"/>
    <w:rsid w:val="00263121"/>
    <w:rsid w:val="0026440F"/>
    <w:rsid w:val="00265C9C"/>
    <w:rsid w:val="00267906"/>
    <w:rsid w:val="00270751"/>
    <w:rsid w:val="00272ADA"/>
    <w:rsid w:val="00274EC7"/>
    <w:rsid w:val="00275785"/>
    <w:rsid w:val="00276CD4"/>
    <w:rsid w:val="002805F2"/>
    <w:rsid w:val="00280FBA"/>
    <w:rsid w:val="0028298C"/>
    <w:rsid w:val="00285732"/>
    <w:rsid w:val="00287C42"/>
    <w:rsid w:val="00295342"/>
    <w:rsid w:val="00297175"/>
    <w:rsid w:val="00297694"/>
    <w:rsid w:val="00297EF6"/>
    <w:rsid w:val="002B2E0A"/>
    <w:rsid w:val="002B7DB3"/>
    <w:rsid w:val="002C0C9A"/>
    <w:rsid w:val="002C110A"/>
    <w:rsid w:val="002C14ED"/>
    <w:rsid w:val="002C36DF"/>
    <w:rsid w:val="002C5946"/>
    <w:rsid w:val="002C67B5"/>
    <w:rsid w:val="002C6FF1"/>
    <w:rsid w:val="002C7204"/>
    <w:rsid w:val="002D0CF3"/>
    <w:rsid w:val="002D41F9"/>
    <w:rsid w:val="002D4615"/>
    <w:rsid w:val="002D5917"/>
    <w:rsid w:val="002D65AE"/>
    <w:rsid w:val="002D6B6B"/>
    <w:rsid w:val="002E0940"/>
    <w:rsid w:val="002E4935"/>
    <w:rsid w:val="002E5398"/>
    <w:rsid w:val="002E65FD"/>
    <w:rsid w:val="002F2568"/>
    <w:rsid w:val="002F36F5"/>
    <w:rsid w:val="002F483F"/>
    <w:rsid w:val="002F55AE"/>
    <w:rsid w:val="002F7DF3"/>
    <w:rsid w:val="003002C5"/>
    <w:rsid w:val="003004AA"/>
    <w:rsid w:val="003005BA"/>
    <w:rsid w:val="003019D0"/>
    <w:rsid w:val="0030312B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2528F"/>
    <w:rsid w:val="003302FF"/>
    <w:rsid w:val="003310D9"/>
    <w:rsid w:val="00331494"/>
    <w:rsid w:val="0033309D"/>
    <w:rsid w:val="003346DE"/>
    <w:rsid w:val="00343D15"/>
    <w:rsid w:val="00344D7F"/>
    <w:rsid w:val="00345288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01A"/>
    <w:rsid w:val="0038037B"/>
    <w:rsid w:val="003808D1"/>
    <w:rsid w:val="00380DD2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3143"/>
    <w:rsid w:val="003A3AEE"/>
    <w:rsid w:val="003A4545"/>
    <w:rsid w:val="003A505E"/>
    <w:rsid w:val="003A5617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36C"/>
    <w:rsid w:val="003C3A23"/>
    <w:rsid w:val="003C53ED"/>
    <w:rsid w:val="003C6914"/>
    <w:rsid w:val="003C6E09"/>
    <w:rsid w:val="003C72DB"/>
    <w:rsid w:val="003C7FDF"/>
    <w:rsid w:val="003D0B16"/>
    <w:rsid w:val="003D4712"/>
    <w:rsid w:val="003D4F26"/>
    <w:rsid w:val="003D5794"/>
    <w:rsid w:val="003D5B08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403"/>
    <w:rsid w:val="00414511"/>
    <w:rsid w:val="0041477A"/>
    <w:rsid w:val="0041598A"/>
    <w:rsid w:val="00415E7F"/>
    <w:rsid w:val="00416299"/>
    <w:rsid w:val="004163CB"/>
    <w:rsid w:val="00417A21"/>
    <w:rsid w:val="004208A5"/>
    <w:rsid w:val="004212EE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3A11"/>
    <w:rsid w:val="00445A7D"/>
    <w:rsid w:val="0045237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128F"/>
    <w:rsid w:val="004A42AF"/>
    <w:rsid w:val="004A4D54"/>
    <w:rsid w:val="004A5BCB"/>
    <w:rsid w:val="004A7243"/>
    <w:rsid w:val="004B0031"/>
    <w:rsid w:val="004B0531"/>
    <w:rsid w:val="004B0F10"/>
    <w:rsid w:val="004B3B1E"/>
    <w:rsid w:val="004B4665"/>
    <w:rsid w:val="004B5781"/>
    <w:rsid w:val="004B70A9"/>
    <w:rsid w:val="004B77D4"/>
    <w:rsid w:val="004C3AD9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4130"/>
    <w:rsid w:val="004E56AB"/>
    <w:rsid w:val="004E56B2"/>
    <w:rsid w:val="004E58BE"/>
    <w:rsid w:val="004F2EEC"/>
    <w:rsid w:val="004F5E54"/>
    <w:rsid w:val="004F748C"/>
    <w:rsid w:val="0050037E"/>
    <w:rsid w:val="005011D2"/>
    <w:rsid w:val="0050570E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27CC2"/>
    <w:rsid w:val="00531DBC"/>
    <w:rsid w:val="00533240"/>
    <w:rsid w:val="005334D3"/>
    <w:rsid w:val="0053451C"/>
    <w:rsid w:val="00536363"/>
    <w:rsid w:val="00536390"/>
    <w:rsid w:val="00542EA1"/>
    <w:rsid w:val="00545DFD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2D0B"/>
    <w:rsid w:val="00573EAB"/>
    <w:rsid w:val="0058059C"/>
    <w:rsid w:val="00581395"/>
    <w:rsid w:val="005813A9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A6A8B"/>
    <w:rsid w:val="005B0A93"/>
    <w:rsid w:val="005B14D1"/>
    <w:rsid w:val="005B35CC"/>
    <w:rsid w:val="005B62FF"/>
    <w:rsid w:val="005B700B"/>
    <w:rsid w:val="005B75A1"/>
    <w:rsid w:val="005C226A"/>
    <w:rsid w:val="005C27C4"/>
    <w:rsid w:val="005C2B29"/>
    <w:rsid w:val="005C319C"/>
    <w:rsid w:val="005C50CB"/>
    <w:rsid w:val="005C5C4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557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76CD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5108"/>
    <w:rsid w:val="0064038D"/>
    <w:rsid w:val="006416B3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CE6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053D"/>
    <w:rsid w:val="006D3DFE"/>
    <w:rsid w:val="006D4EA4"/>
    <w:rsid w:val="006D52FF"/>
    <w:rsid w:val="006D5BC2"/>
    <w:rsid w:val="006D6C39"/>
    <w:rsid w:val="006D70F7"/>
    <w:rsid w:val="006E0AA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68F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2390"/>
    <w:rsid w:val="007234E3"/>
    <w:rsid w:val="00723D17"/>
    <w:rsid w:val="0072406A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3D01"/>
    <w:rsid w:val="00746109"/>
    <w:rsid w:val="0074662C"/>
    <w:rsid w:val="00747F60"/>
    <w:rsid w:val="007506F7"/>
    <w:rsid w:val="00751759"/>
    <w:rsid w:val="007543D2"/>
    <w:rsid w:val="00756E7D"/>
    <w:rsid w:val="0076026E"/>
    <w:rsid w:val="0076034A"/>
    <w:rsid w:val="00761868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6DBF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2CD8"/>
    <w:rsid w:val="007C4E33"/>
    <w:rsid w:val="007C68D1"/>
    <w:rsid w:val="007C6C60"/>
    <w:rsid w:val="007C72A1"/>
    <w:rsid w:val="007C7F27"/>
    <w:rsid w:val="007D161B"/>
    <w:rsid w:val="007D4782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2F"/>
    <w:rsid w:val="0081769D"/>
    <w:rsid w:val="008206F8"/>
    <w:rsid w:val="0082198F"/>
    <w:rsid w:val="0082261C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6A4"/>
    <w:rsid w:val="00841EC1"/>
    <w:rsid w:val="0084433C"/>
    <w:rsid w:val="0084672D"/>
    <w:rsid w:val="00847FAC"/>
    <w:rsid w:val="008513BE"/>
    <w:rsid w:val="008536DF"/>
    <w:rsid w:val="0085431E"/>
    <w:rsid w:val="00855B77"/>
    <w:rsid w:val="008564E3"/>
    <w:rsid w:val="00860480"/>
    <w:rsid w:val="00860930"/>
    <w:rsid w:val="008609E4"/>
    <w:rsid w:val="0086173D"/>
    <w:rsid w:val="008621B5"/>
    <w:rsid w:val="008621BE"/>
    <w:rsid w:val="00863264"/>
    <w:rsid w:val="00866E2A"/>
    <w:rsid w:val="008679B9"/>
    <w:rsid w:val="00870404"/>
    <w:rsid w:val="00870BF8"/>
    <w:rsid w:val="00873085"/>
    <w:rsid w:val="00873546"/>
    <w:rsid w:val="00873667"/>
    <w:rsid w:val="00873F2D"/>
    <w:rsid w:val="00876096"/>
    <w:rsid w:val="00877A6B"/>
    <w:rsid w:val="00877AAE"/>
    <w:rsid w:val="00880DC3"/>
    <w:rsid w:val="00881A0C"/>
    <w:rsid w:val="00886E60"/>
    <w:rsid w:val="00887437"/>
    <w:rsid w:val="00890987"/>
    <w:rsid w:val="008919A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2EFF"/>
    <w:rsid w:val="008B312B"/>
    <w:rsid w:val="008B382F"/>
    <w:rsid w:val="008B4B05"/>
    <w:rsid w:val="008B601C"/>
    <w:rsid w:val="008B6157"/>
    <w:rsid w:val="008C1696"/>
    <w:rsid w:val="008C7F7E"/>
    <w:rsid w:val="008D2253"/>
    <w:rsid w:val="008D4694"/>
    <w:rsid w:val="008D4893"/>
    <w:rsid w:val="008E0A7E"/>
    <w:rsid w:val="008E1804"/>
    <w:rsid w:val="008E261E"/>
    <w:rsid w:val="008E3E1C"/>
    <w:rsid w:val="008E4804"/>
    <w:rsid w:val="008E625A"/>
    <w:rsid w:val="008F4294"/>
    <w:rsid w:val="00901031"/>
    <w:rsid w:val="0090367C"/>
    <w:rsid w:val="009042B8"/>
    <w:rsid w:val="00913A83"/>
    <w:rsid w:val="00914E0B"/>
    <w:rsid w:val="00915046"/>
    <w:rsid w:val="009159F9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3B0C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9618E"/>
    <w:rsid w:val="009A0A3C"/>
    <w:rsid w:val="009A0C68"/>
    <w:rsid w:val="009A2C47"/>
    <w:rsid w:val="009A35A5"/>
    <w:rsid w:val="009A3ED5"/>
    <w:rsid w:val="009A6274"/>
    <w:rsid w:val="009A6372"/>
    <w:rsid w:val="009A6C47"/>
    <w:rsid w:val="009A76B7"/>
    <w:rsid w:val="009B0889"/>
    <w:rsid w:val="009B3C20"/>
    <w:rsid w:val="009B436D"/>
    <w:rsid w:val="009B4481"/>
    <w:rsid w:val="009B62D3"/>
    <w:rsid w:val="009B6C88"/>
    <w:rsid w:val="009B761B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E04E5"/>
    <w:rsid w:val="009E0AAC"/>
    <w:rsid w:val="009E13B8"/>
    <w:rsid w:val="009E1DAD"/>
    <w:rsid w:val="009E3A99"/>
    <w:rsid w:val="009E3C2E"/>
    <w:rsid w:val="009E4F40"/>
    <w:rsid w:val="009E5CEF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634"/>
    <w:rsid w:val="00A43D15"/>
    <w:rsid w:val="00A4550A"/>
    <w:rsid w:val="00A45C63"/>
    <w:rsid w:val="00A5085E"/>
    <w:rsid w:val="00A51F12"/>
    <w:rsid w:val="00A51F98"/>
    <w:rsid w:val="00A5241A"/>
    <w:rsid w:val="00A555B1"/>
    <w:rsid w:val="00A55828"/>
    <w:rsid w:val="00A55D88"/>
    <w:rsid w:val="00A5636B"/>
    <w:rsid w:val="00A57165"/>
    <w:rsid w:val="00A62AFF"/>
    <w:rsid w:val="00A63B69"/>
    <w:rsid w:val="00A6524B"/>
    <w:rsid w:val="00A65536"/>
    <w:rsid w:val="00A65CAD"/>
    <w:rsid w:val="00A70D33"/>
    <w:rsid w:val="00A749D7"/>
    <w:rsid w:val="00A766DA"/>
    <w:rsid w:val="00A84C09"/>
    <w:rsid w:val="00A85AC7"/>
    <w:rsid w:val="00A86605"/>
    <w:rsid w:val="00A86810"/>
    <w:rsid w:val="00A86D82"/>
    <w:rsid w:val="00A87632"/>
    <w:rsid w:val="00A91C10"/>
    <w:rsid w:val="00A920B7"/>
    <w:rsid w:val="00A93F21"/>
    <w:rsid w:val="00A9408D"/>
    <w:rsid w:val="00A95AB5"/>
    <w:rsid w:val="00A966B5"/>
    <w:rsid w:val="00A970FE"/>
    <w:rsid w:val="00AA034D"/>
    <w:rsid w:val="00AA0B31"/>
    <w:rsid w:val="00AA2165"/>
    <w:rsid w:val="00AA542E"/>
    <w:rsid w:val="00AA55C3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0F82"/>
    <w:rsid w:val="00AC1056"/>
    <w:rsid w:val="00AC248B"/>
    <w:rsid w:val="00AC28FD"/>
    <w:rsid w:val="00AC2AAB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13B32"/>
    <w:rsid w:val="00B142CB"/>
    <w:rsid w:val="00B15140"/>
    <w:rsid w:val="00B156D4"/>
    <w:rsid w:val="00B224B1"/>
    <w:rsid w:val="00B23000"/>
    <w:rsid w:val="00B23191"/>
    <w:rsid w:val="00B24CCF"/>
    <w:rsid w:val="00B25002"/>
    <w:rsid w:val="00B25543"/>
    <w:rsid w:val="00B3296A"/>
    <w:rsid w:val="00B34A6A"/>
    <w:rsid w:val="00B34E9F"/>
    <w:rsid w:val="00B36A73"/>
    <w:rsid w:val="00B37CED"/>
    <w:rsid w:val="00B43E8F"/>
    <w:rsid w:val="00B453AC"/>
    <w:rsid w:val="00B476ED"/>
    <w:rsid w:val="00B47E2E"/>
    <w:rsid w:val="00B52F99"/>
    <w:rsid w:val="00B53EF6"/>
    <w:rsid w:val="00B53FB1"/>
    <w:rsid w:val="00B54241"/>
    <w:rsid w:val="00B55134"/>
    <w:rsid w:val="00B55792"/>
    <w:rsid w:val="00B56A40"/>
    <w:rsid w:val="00B56CFA"/>
    <w:rsid w:val="00B57E26"/>
    <w:rsid w:val="00B61325"/>
    <w:rsid w:val="00B61A64"/>
    <w:rsid w:val="00B61F7A"/>
    <w:rsid w:val="00B6710B"/>
    <w:rsid w:val="00B67CAC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444A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CD0"/>
    <w:rsid w:val="00BC5FD9"/>
    <w:rsid w:val="00BC6AF1"/>
    <w:rsid w:val="00BC6ECD"/>
    <w:rsid w:val="00BD14F2"/>
    <w:rsid w:val="00BD1F26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3C94"/>
    <w:rsid w:val="00BF4597"/>
    <w:rsid w:val="00BF5878"/>
    <w:rsid w:val="00BF69F0"/>
    <w:rsid w:val="00BF6F73"/>
    <w:rsid w:val="00C02270"/>
    <w:rsid w:val="00C023BE"/>
    <w:rsid w:val="00C026CC"/>
    <w:rsid w:val="00C03084"/>
    <w:rsid w:val="00C049DC"/>
    <w:rsid w:val="00C066B3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579C"/>
    <w:rsid w:val="00C3687C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614FC"/>
    <w:rsid w:val="00C61F8A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2C73"/>
    <w:rsid w:val="00CA3008"/>
    <w:rsid w:val="00CA7A0B"/>
    <w:rsid w:val="00CB01BB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C6C9E"/>
    <w:rsid w:val="00CD1412"/>
    <w:rsid w:val="00CD349D"/>
    <w:rsid w:val="00CD34A4"/>
    <w:rsid w:val="00CD3B88"/>
    <w:rsid w:val="00CD3C6E"/>
    <w:rsid w:val="00CD7980"/>
    <w:rsid w:val="00CE1529"/>
    <w:rsid w:val="00CE272C"/>
    <w:rsid w:val="00CE3CA1"/>
    <w:rsid w:val="00CE5611"/>
    <w:rsid w:val="00CE6505"/>
    <w:rsid w:val="00CF02DF"/>
    <w:rsid w:val="00CF41C6"/>
    <w:rsid w:val="00CF434D"/>
    <w:rsid w:val="00CF6C0C"/>
    <w:rsid w:val="00CF72D4"/>
    <w:rsid w:val="00D00D7E"/>
    <w:rsid w:val="00D01A62"/>
    <w:rsid w:val="00D01DA3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276"/>
    <w:rsid w:val="00D23C82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4DCF"/>
    <w:rsid w:val="00D77623"/>
    <w:rsid w:val="00D77DDE"/>
    <w:rsid w:val="00D809AE"/>
    <w:rsid w:val="00D811C4"/>
    <w:rsid w:val="00D82476"/>
    <w:rsid w:val="00D833C3"/>
    <w:rsid w:val="00D83B62"/>
    <w:rsid w:val="00D8495E"/>
    <w:rsid w:val="00D84C1F"/>
    <w:rsid w:val="00D855B7"/>
    <w:rsid w:val="00D90E26"/>
    <w:rsid w:val="00D93740"/>
    <w:rsid w:val="00D94216"/>
    <w:rsid w:val="00D95691"/>
    <w:rsid w:val="00D970A6"/>
    <w:rsid w:val="00D9759B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D28"/>
    <w:rsid w:val="00DD0DA5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1E64"/>
    <w:rsid w:val="00E42AF6"/>
    <w:rsid w:val="00E4438E"/>
    <w:rsid w:val="00E45186"/>
    <w:rsid w:val="00E45A13"/>
    <w:rsid w:val="00E46894"/>
    <w:rsid w:val="00E47479"/>
    <w:rsid w:val="00E56C55"/>
    <w:rsid w:val="00E63EF1"/>
    <w:rsid w:val="00E64407"/>
    <w:rsid w:val="00E64B01"/>
    <w:rsid w:val="00E64FE9"/>
    <w:rsid w:val="00E66E2F"/>
    <w:rsid w:val="00E714E9"/>
    <w:rsid w:val="00E74247"/>
    <w:rsid w:val="00E75487"/>
    <w:rsid w:val="00E80643"/>
    <w:rsid w:val="00E80FB8"/>
    <w:rsid w:val="00E816B6"/>
    <w:rsid w:val="00E8273A"/>
    <w:rsid w:val="00E83A63"/>
    <w:rsid w:val="00E84D17"/>
    <w:rsid w:val="00E84DA6"/>
    <w:rsid w:val="00E90B18"/>
    <w:rsid w:val="00E911EE"/>
    <w:rsid w:val="00E91C25"/>
    <w:rsid w:val="00E93256"/>
    <w:rsid w:val="00E95C62"/>
    <w:rsid w:val="00E9731E"/>
    <w:rsid w:val="00E97990"/>
    <w:rsid w:val="00EA112F"/>
    <w:rsid w:val="00EA2979"/>
    <w:rsid w:val="00EA3B5E"/>
    <w:rsid w:val="00EA3BBB"/>
    <w:rsid w:val="00EA3E13"/>
    <w:rsid w:val="00EA44C9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DA3"/>
    <w:rsid w:val="00EE37C5"/>
    <w:rsid w:val="00EE3A1D"/>
    <w:rsid w:val="00EE3EAE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ABE"/>
    <w:rsid w:val="00F1021F"/>
    <w:rsid w:val="00F1025C"/>
    <w:rsid w:val="00F10BD8"/>
    <w:rsid w:val="00F1194B"/>
    <w:rsid w:val="00F125B2"/>
    <w:rsid w:val="00F12AE1"/>
    <w:rsid w:val="00F1317E"/>
    <w:rsid w:val="00F13E7A"/>
    <w:rsid w:val="00F13F0C"/>
    <w:rsid w:val="00F14546"/>
    <w:rsid w:val="00F17255"/>
    <w:rsid w:val="00F17B82"/>
    <w:rsid w:val="00F202DB"/>
    <w:rsid w:val="00F21DBB"/>
    <w:rsid w:val="00F22803"/>
    <w:rsid w:val="00F22BA9"/>
    <w:rsid w:val="00F22E31"/>
    <w:rsid w:val="00F24E3E"/>
    <w:rsid w:val="00F27C39"/>
    <w:rsid w:val="00F43778"/>
    <w:rsid w:val="00F43C91"/>
    <w:rsid w:val="00F4473A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2480"/>
    <w:rsid w:val="00F854DE"/>
    <w:rsid w:val="00F85C65"/>
    <w:rsid w:val="00F85EC9"/>
    <w:rsid w:val="00F93502"/>
    <w:rsid w:val="00F9427F"/>
    <w:rsid w:val="00F94F5E"/>
    <w:rsid w:val="00F95828"/>
    <w:rsid w:val="00F96C2C"/>
    <w:rsid w:val="00FA1871"/>
    <w:rsid w:val="00FA1ACD"/>
    <w:rsid w:val="00FA1C6B"/>
    <w:rsid w:val="00FA22D3"/>
    <w:rsid w:val="00FA3D8E"/>
    <w:rsid w:val="00FA4530"/>
    <w:rsid w:val="00FA47DC"/>
    <w:rsid w:val="00FA4DB5"/>
    <w:rsid w:val="00FA53AC"/>
    <w:rsid w:val="00FA6DE5"/>
    <w:rsid w:val="00FB24C7"/>
    <w:rsid w:val="00FB4E1A"/>
    <w:rsid w:val="00FB55F6"/>
    <w:rsid w:val="00FB593E"/>
    <w:rsid w:val="00FC0A14"/>
    <w:rsid w:val="00FC158E"/>
    <w:rsid w:val="00FC5209"/>
    <w:rsid w:val="00FC58D4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00FF6AF8"/>
    <w:rsid w:val="01F87FF9"/>
    <w:rsid w:val="02752713"/>
    <w:rsid w:val="032FCD82"/>
    <w:rsid w:val="04CB9DE3"/>
    <w:rsid w:val="0664758E"/>
    <w:rsid w:val="07824504"/>
    <w:rsid w:val="07A02A32"/>
    <w:rsid w:val="07C5064C"/>
    <w:rsid w:val="091E1565"/>
    <w:rsid w:val="091F9578"/>
    <w:rsid w:val="09507AE3"/>
    <w:rsid w:val="0AB61C88"/>
    <w:rsid w:val="0AC6FD50"/>
    <w:rsid w:val="0BD5A828"/>
    <w:rsid w:val="0C1186F9"/>
    <w:rsid w:val="0D635278"/>
    <w:rsid w:val="0E125C23"/>
    <w:rsid w:val="0E95CF16"/>
    <w:rsid w:val="0FAE2C84"/>
    <w:rsid w:val="0FE1B5CB"/>
    <w:rsid w:val="105DA1C4"/>
    <w:rsid w:val="108D1C26"/>
    <w:rsid w:val="10CC37E9"/>
    <w:rsid w:val="11721320"/>
    <w:rsid w:val="1188D476"/>
    <w:rsid w:val="12018C39"/>
    <w:rsid w:val="120D0698"/>
    <w:rsid w:val="13F40136"/>
    <w:rsid w:val="144869F8"/>
    <w:rsid w:val="16A83B22"/>
    <w:rsid w:val="16C1E406"/>
    <w:rsid w:val="17491CDC"/>
    <w:rsid w:val="17D39F53"/>
    <w:rsid w:val="1870CDBD"/>
    <w:rsid w:val="19550ECA"/>
    <w:rsid w:val="1B58F0B7"/>
    <w:rsid w:val="1CD383F7"/>
    <w:rsid w:val="1CE33283"/>
    <w:rsid w:val="1D096BA3"/>
    <w:rsid w:val="1D6A5413"/>
    <w:rsid w:val="1E4F0628"/>
    <w:rsid w:val="1FDEB138"/>
    <w:rsid w:val="204764D4"/>
    <w:rsid w:val="2047F1B4"/>
    <w:rsid w:val="2199836B"/>
    <w:rsid w:val="21A844BC"/>
    <w:rsid w:val="22E6604C"/>
    <w:rsid w:val="24B9B518"/>
    <w:rsid w:val="252C6552"/>
    <w:rsid w:val="256A8FA5"/>
    <w:rsid w:val="2668DBD5"/>
    <w:rsid w:val="27EE632A"/>
    <w:rsid w:val="28DCC619"/>
    <w:rsid w:val="290118EB"/>
    <w:rsid w:val="2902FE8D"/>
    <w:rsid w:val="291FCD54"/>
    <w:rsid w:val="29297D2E"/>
    <w:rsid w:val="2975A59C"/>
    <w:rsid w:val="29A35146"/>
    <w:rsid w:val="2A2E0DF3"/>
    <w:rsid w:val="2AD41329"/>
    <w:rsid w:val="2AFBBADC"/>
    <w:rsid w:val="2B063AB1"/>
    <w:rsid w:val="2B6F4473"/>
    <w:rsid w:val="2B92FBB6"/>
    <w:rsid w:val="2BCE3E53"/>
    <w:rsid w:val="2F5A4220"/>
    <w:rsid w:val="30345453"/>
    <w:rsid w:val="305FBB9F"/>
    <w:rsid w:val="3294A70E"/>
    <w:rsid w:val="339D16E6"/>
    <w:rsid w:val="354E1AAA"/>
    <w:rsid w:val="361A3967"/>
    <w:rsid w:val="3652DBAF"/>
    <w:rsid w:val="37D202F0"/>
    <w:rsid w:val="384ABF06"/>
    <w:rsid w:val="396A3A77"/>
    <w:rsid w:val="3A12C371"/>
    <w:rsid w:val="3A3F3FA1"/>
    <w:rsid w:val="3C700B84"/>
    <w:rsid w:val="3C9E562F"/>
    <w:rsid w:val="3D8151F0"/>
    <w:rsid w:val="3E025ABF"/>
    <w:rsid w:val="3E1C2B4A"/>
    <w:rsid w:val="3F1639BA"/>
    <w:rsid w:val="4042576E"/>
    <w:rsid w:val="4124C346"/>
    <w:rsid w:val="418AAF52"/>
    <w:rsid w:val="425C2981"/>
    <w:rsid w:val="426CF8DF"/>
    <w:rsid w:val="4277B3AF"/>
    <w:rsid w:val="439A9F33"/>
    <w:rsid w:val="43CA69D4"/>
    <w:rsid w:val="43D18D11"/>
    <w:rsid w:val="445BF084"/>
    <w:rsid w:val="456D5D72"/>
    <w:rsid w:val="45D9F2B9"/>
    <w:rsid w:val="46153556"/>
    <w:rsid w:val="46450F63"/>
    <w:rsid w:val="489BF091"/>
    <w:rsid w:val="48B14B75"/>
    <w:rsid w:val="49A11FBB"/>
    <w:rsid w:val="4B319198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10D4906"/>
    <w:rsid w:val="51122C15"/>
    <w:rsid w:val="525D94A4"/>
    <w:rsid w:val="52BFB6E6"/>
    <w:rsid w:val="52D1B413"/>
    <w:rsid w:val="53123C2B"/>
    <w:rsid w:val="53C1FE17"/>
    <w:rsid w:val="559A5A29"/>
    <w:rsid w:val="562A6F5A"/>
    <w:rsid w:val="56ED0881"/>
    <w:rsid w:val="5849D6F9"/>
    <w:rsid w:val="584ECD58"/>
    <w:rsid w:val="587F468A"/>
    <w:rsid w:val="58C688CE"/>
    <w:rsid w:val="5A561F1C"/>
    <w:rsid w:val="5B6AC0A4"/>
    <w:rsid w:val="5C224FF8"/>
    <w:rsid w:val="5D68D0E2"/>
    <w:rsid w:val="5EB1CAA7"/>
    <w:rsid w:val="5F5FE507"/>
    <w:rsid w:val="5F7709AA"/>
    <w:rsid w:val="6004FE18"/>
    <w:rsid w:val="60ADD5CF"/>
    <w:rsid w:val="611B14E6"/>
    <w:rsid w:val="61A0CE79"/>
    <w:rsid w:val="62E0088D"/>
    <w:rsid w:val="62E2E794"/>
    <w:rsid w:val="635CAA2C"/>
    <w:rsid w:val="64ABFE99"/>
    <w:rsid w:val="6555ADE3"/>
    <w:rsid w:val="658C8538"/>
    <w:rsid w:val="6733E019"/>
    <w:rsid w:val="69CBEBB0"/>
    <w:rsid w:val="6B24905F"/>
    <w:rsid w:val="6B735BE0"/>
    <w:rsid w:val="6C094B53"/>
    <w:rsid w:val="6C406148"/>
    <w:rsid w:val="6C999262"/>
    <w:rsid w:val="6D754AB4"/>
    <w:rsid w:val="6E873F07"/>
    <w:rsid w:val="70C2CA1D"/>
    <w:rsid w:val="714779F8"/>
    <w:rsid w:val="72AFA2CC"/>
    <w:rsid w:val="7307E1E1"/>
    <w:rsid w:val="733B9770"/>
    <w:rsid w:val="737EAD24"/>
    <w:rsid w:val="73F437D1"/>
    <w:rsid w:val="7406169C"/>
    <w:rsid w:val="74D75949"/>
    <w:rsid w:val="74F0AA61"/>
    <w:rsid w:val="754A1524"/>
    <w:rsid w:val="7602614A"/>
    <w:rsid w:val="7622C342"/>
    <w:rsid w:val="766A72D6"/>
    <w:rsid w:val="7675FF2F"/>
    <w:rsid w:val="769CB94C"/>
    <w:rsid w:val="778313EF"/>
    <w:rsid w:val="7881B5E6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  <w:style w:type="paragraph" w:customStyle="1" w:styleId="paragraph">
    <w:name w:val="paragraph"/>
    <w:basedOn w:val="Normln"/>
    <w:rsid w:val="004A42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4A42AF"/>
  </w:style>
  <w:style w:type="character" w:customStyle="1" w:styleId="eop">
    <w:name w:val="eop"/>
    <w:basedOn w:val="Standardnpsmoodstavce"/>
    <w:rsid w:val="004A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mocko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2.xml><?xml version="1.0" encoding="utf-8"?>
<ds:datastoreItem xmlns:ds="http://schemas.openxmlformats.org/officeDocument/2006/customXml" ds:itemID="{D4EB63F2-07CE-4598-B855-82A3614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C:\Users\cu108\Desktop\20160912_OP_DEPOZITA_POZNAMKY.dotx</Template>
  <TotalTime>121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Marie Mocková</cp:lastModifiedBy>
  <cp:revision>128</cp:revision>
  <cp:lastPrinted>2024-06-21T08:10:00Z</cp:lastPrinted>
  <dcterms:created xsi:type="dcterms:W3CDTF">2024-03-25T11:35:00Z</dcterms:created>
  <dcterms:modified xsi:type="dcterms:W3CDTF">2024-07-10T08:14:00Z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